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F7" w:rsidRPr="00E52B51" w:rsidRDefault="004977B5" w:rsidP="00BC4F3C">
      <w:pPr>
        <w:rPr>
          <w:rFonts w:ascii="Arial" w:hAnsi="Arial" w:cs="Arial"/>
          <w:b/>
          <w:bCs/>
          <w:u w:val="single"/>
          <w:lang w:val="de-DE"/>
        </w:rPr>
      </w:pPr>
      <w:r w:rsidRPr="00E52B51">
        <w:rPr>
          <w:rFonts w:ascii="Arial" w:hAnsi="Arial" w:cs="Arial"/>
          <w:b/>
          <w:bCs/>
          <w:u w:val="single"/>
          <w:lang w:val="de-DE"/>
        </w:rPr>
        <w:t>Hindernisse</w:t>
      </w:r>
      <w:r w:rsidR="009321F7" w:rsidRPr="00E52B51">
        <w:rPr>
          <w:rFonts w:ascii="Arial" w:hAnsi="Arial" w:cs="Arial"/>
          <w:b/>
          <w:bCs/>
          <w:u w:val="single"/>
          <w:lang w:val="de-DE"/>
        </w:rPr>
        <w:t xml:space="preserve"> bei der Verabreichung </w:t>
      </w:r>
      <w:r w:rsidR="00351BB0" w:rsidRPr="00E52B51">
        <w:rPr>
          <w:rFonts w:ascii="Arial" w:hAnsi="Arial" w:cs="Arial"/>
          <w:b/>
          <w:bCs/>
          <w:u w:val="single"/>
          <w:lang w:val="de-DE"/>
        </w:rPr>
        <w:t xml:space="preserve">von </w:t>
      </w:r>
      <w:r w:rsidR="009321F7" w:rsidRPr="00E52B51">
        <w:rPr>
          <w:rFonts w:ascii="Arial" w:hAnsi="Arial" w:cs="Arial"/>
          <w:b/>
          <w:bCs/>
          <w:u w:val="single"/>
          <w:lang w:val="de-DE"/>
        </w:rPr>
        <w:t>enteraler Ernährung auf der Kinderintensivstation</w:t>
      </w:r>
    </w:p>
    <w:p w:rsidR="009321F7" w:rsidRPr="00E52B51" w:rsidRDefault="004977B5" w:rsidP="00BC4F3C">
      <w:pPr>
        <w:rPr>
          <w:rFonts w:ascii="Arial" w:hAnsi="Arial" w:cs="Arial"/>
          <w:bCs/>
          <w:lang w:val="de-DE"/>
        </w:rPr>
      </w:pPr>
      <w:r w:rsidRPr="00E52B51">
        <w:rPr>
          <w:rFonts w:ascii="Arial" w:hAnsi="Arial" w:cs="Arial"/>
          <w:bCs/>
          <w:lang w:val="de-DE"/>
        </w:rPr>
        <w:t>Ein Hindernis</w:t>
      </w:r>
      <w:r w:rsidR="009321F7" w:rsidRPr="00E52B51">
        <w:rPr>
          <w:rFonts w:ascii="Arial" w:hAnsi="Arial" w:cs="Arial"/>
          <w:bCs/>
          <w:lang w:val="de-DE"/>
        </w:rPr>
        <w:t xml:space="preserve"> ist etwas, das die Möglichkeiten einschränkt, eine adäquate enterale Ernährung durchzuführen. In der unte</w:t>
      </w:r>
      <w:r w:rsidR="00351BB0" w:rsidRPr="00E52B51">
        <w:rPr>
          <w:rFonts w:ascii="Arial" w:hAnsi="Arial" w:cs="Arial"/>
          <w:bCs/>
          <w:lang w:val="de-DE"/>
        </w:rPr>
        <w:t>n auf</w:t>
      </w:r>
      <w:r w:rsidR="009321F7" w:rsidRPr="00E52B51">
        <w:rPr>
          <w:rFonts w:ascii="Arial" w:hAnsi="Arial" w:cs="Arial"/>
          <w:bCs/>
          <w:lang w:val="de-DE"/>
        </w:rPr>
        <w:t>gef</w:t>
      </w:r>
      <w:r w:rsidR="00351BB0" w:rsidRPr="00E52B51">
        <w:rPr>
          <w:rFonts w:ascii="Arial" w:hAnsi="Arial" w:cs="Arial"/>
          <w:bCs/>
          <w:lang w:val="de-DE"/>
        </w:rPr>
        <w:t>ührten</w:t>
      </w:r>
      <w:r w:rsidR="009321F7" w:rsidRPr="00E52B51">
        <w:rPr>
          <w:rFonts w:ascii="Arial" w:hAnsi="Arial" w:cs="Arial"/>
          <w:bCs/>
          <w:lang w:val="de-DE"/>
        </w:rPr>
        <w:t xml:space="preserve"> Liste finden sich 24 Punkte, die in diesem Zusammenhang als Hindernisse </w:t>
      </w:r>
      <w:r w:rsidR="00351BB0" w:rsidRPr="00E52B51">
        <w:rPr>
          <w:rFonts w:ascii="Arial" w:hAnsi="Arial" w:cs="Arial"/>
          <w:bCs/>
          <w:lang w:val="de-DE"/>
        </w:rPr>
        <w:t xml:space="preserve">in der Ernährung von kritisch kranken Kindern </w:t>
      </w:r>
      <w:r w:rsidR="009321F7" w:rsidRPr="00E52B51">
        <w:rPr>
          <w:rFonts w:ascii="Arial" w:hAnsi="Arial" w:cs="Arial"/>
          <w:bCs/>
          <w:lang w:val="de-DE"/>
        </w:rPr>
        <w:t>angesehen werden. Bitte gehen Sie die Liste sorgfältig durch. Überlegen Sie, ob diese Punkte auch auf i</w:t>
      </w:r>
      <w:r w:rsidR="00351BB0" w:rsidRPr="00E52B51">
        <w:rPr>
          <w:rFonts w:ascii="Arial" w:hAnsi="Arial" w:cs="Arial"/>
          <w:bCs/>
          <w:lang w:val="de-DE"/>
        </w:rPr>
        <w:t>hre</w:t>
      </w:r>
      <w:r w:rsidR="009321F7" w:rsidRPr="00E52B51">
        <w:rPr>
          <w:rFonts w:ascii="Arial" w:hAnsi="Arial" w:cs="Arial"/>
          <w:bCs/>
          <w:lang w:val="de-DE"/>
        </w:rPr>
        <w:t xml:space="preserve"> Station </w:t>
      </w:r>
      <w:r w:rsidR="00351BB0" w:rsidRPr="00E52B51">
        <w:rPr>
          <w:rFonts w:ascii="Arial" w:hAnsi="Arial" w:cs="Arial"/>
          <w:bCs/>
          <w:lang w:val="de-DE"/>
        </w:rPr>
        <w:t>zutreffen</w:t>
      </w:r>
      <w:r w:rsidR="009321F7" w:rsidRPr="00E52B51">
        <w:rPr>
          <w:rFonts w:ascii="Arial" w:hAnsi="Arial" w:cs="Arial"/>
          <w:bCs/>
          <w:lang w:val="de-DE"/>
        </w:rPr>
        <w:t xml:space="preserve"> und markieren Sie bitte</w:t>
      </w:r>
      <w:r w:rsidR="00351BB0" w:rsidRPr="00E52B51">
        <w:rPr>
          <w:rFonts w:ascii="Arial" w:hAnsi="Arial" w:cs="Arial"/>
          <w:bCs/>
          <w:lang w:val="de-DE"/>
        </w:rPr>
        <w:t xml:space="preserve"> auf einer Skala von 0 - 6</w:t>
      </w:r>
      <w:r w:rsidR="009321F7" w:rsidRPr="00E52B51">
        <w:rPr>
          <w:rFonts w:ascii="Arial" w:hAnsi="Arial" w:cs="Arial"/>
          <w:bCs/>
          <w:lang w:val="de-DE"/>
        </w:rPr>
        <w:t xml:space="preserve">, wie stark diese die Durchführung der enteralen Ernährung </w:t>
      </w:r>
      <w:r w:rsidR="009C723B" w:rsidRPr="00E52B51">
        <w:rPr>
          <w:rFonts w:ascii="Arial" w:hAnsi="Arial" w:cs="Arial"/>
          <w:bCs/>
          <w:lang w:val="de-DE"/>
        </w:rPr>
        <w:t>bestimmen</w:t>
      </w:r>
      <w:r w:rsidR="009321F7" w:rsidRPr="00E52B51">
        <w:rPr>
          <w:rFonts w:ascii="Arial" w:hAnsi="Arial" w:cs="Arial"/>
          <w:bCs/>
          <w:lang w:val="de-DE"/>
        </w:rPr>
        <w:t xml:space="preserve">. </w:t>
      </w:r>
      <w:r w:rsidR="00351BB0" w:rsidRPr="00E52B51">
        <w:rPr>
          <w:rFonts w:ascii="Arial" w:hAnsi="Arial" w:cs="Arial"/>
          <w:bCs/>
          <w:lang w:val="de-DE"/>
        </w:rPr>
        <w:t>‚0‘ steht</w:t>
      </w:r>
      <w:r w:rsidR="009C723B" w:rsidRPr="00E52B51">
        <w:rPr>
          <w:rFonts w:ascii="Arial" w:hAnsi="Arial" w:cs="Arial"/>
          <w:bCs/>
          <w:lang w:val="de-DE"/>
        </w:rPr>
        <w:t xml:space="preserve"> dabei</w:t>
      </w:r>
      <w:r w:rsidR="00351BB0" w:rsidRPr="00E52B51">
        <w:rPr>
          <w:rFonts w:ascii="Arial" w:hAnsi="Arial" w:cs="Arial"/>
          <w:bCs/>
          <w:lang w:val="de-DE"/>
        </w:rPr>
        <w:t xml:space="preserve"> für ‚keinerlei Einschränkung‘ und ‚6‘ für eine ‚extreme Einschränkung‘. Bitte markieren Sie für jeden Punkt der Liste die Zahl, die am ehesten die Situation auf ihrer Station aufzeigt.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688"/>
        <w:gridCol w:w="689"/>
        <w:gridCol w:w="689"/>
        <w:gridCol w:w="799"/>
        <w:gridCol w:w="578"/>
        <w:gridCol w:w="689"/>
        <w:gridCol w:w="1001"/>
      </w:tblGrid>
      <w:tr w:rsidR="00BC4F3C" w:rsidRPr="009C723B" w:rsidTr="009C723B">
        <w:trPr>
          <w:trHeight w:val="1337"/>
        </w:trPr>
        <w:tc>
          <w:tcPr>
            <w:tcW w:w="5352" w:type="dxa"/>
            <w:tcBorders>
              <w:bottom w:val="single" w:sz="4" w:space="0" w:color="auto"/>
            </w:tcBorders>
          </w:tcPr>
          <w:p w:rsidR="00BC4F3C" w:rsidRPr="009C723B" w:rsidRDefault="00BC4F3C" w:rsidP="009C723B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:rsidR="00BC4F3C" w:rsidRPr="009C723B" w:rsidRDefault="00BC4F3C" w:rsidP="009C723B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:rsidR="00BC4F3C" w:rsidRPr="009C723B" w:rsidRDefault="00BC4F3C" w:rsidP="009C723B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C723B" w:rsidRPr="009C723B" w:rsidRDefault="009C723B" w:rsidP="009C723B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spacing w:line="240" w:lineRule="auto"/>
              <w:ind w:left="113" w:right="-720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br/>
            </w:r>
            <w:proofErr w:type="spellStart"/>
            <w:r w:rsidRPr="006A1EFF">
              <w:rPr>
                <w:rFonts w:ascii="Arial" w:hAnsi="Arial"/>
                <w:b/>
                <w:sz w:val="16"/>
                <w:szCs w:val="16"/>
                <w:lang w:val="en-US"/>
              </w:rPr>
              <w:t>Kein</w:t>
            </w:r>
            <w:proofErr w:type="spellEnd"/>
            <w:r w:rsidRPr="006A1EFF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Problem </w:t>
            </w:r>
          </w:p>
          <w:p w:rsidR="009C723B" w:rsidRPr="009C723B" w:rsidRDefault="009C723B" w:rsidP="009C723B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spacing w:line="240" w:lineRule="auto"/>
              <w:ind w:left="113" w:right="-720"/>
              <w:rPr>
                <w:rFonts w:ascii="Arial" w:hAnsi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6A1EFF" w:rsidRDefault="00BC4F3C" w:rsidP="006A1EFF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spacing w:line="240" w:lineRule="auto"/>
              <w:ind w:right="-720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6A1EFF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="009C723B" w:rsidRPr="006A1EFF">
              <w:rPr>
                <w:rFonts w:ascii="Arial" w:hAnsi="Arial"/>
                <w:b/>
                <w:sz w:val="16"/>
                <w:szCs w:val="16"/>
                <w:lang w:val="en-US"/>
              </w:rPr>
              <w:br/>
            </w:r>
            <w:proofErr w:type="spellStart"/>
            <w:r w:rsidR="009C723B" w:rsidRPr="006A1EFF">
              <w:rPr>
                <w:rFonts w:ascii="Arial" w:hAnsi="Arial"/>
                <w:b/>
                <w:sz w:val="16"/>
                <w:szCs w:val="16"/>
                <w:lang w:val="en-US"/>
              </w:rPr>
              <w:t>sehr</w:t>
            </w:r>
            <w:proofErr w:type="spellEnd"/>
            <w:r w:rsidR="009C723B" w:rsidRPr="006A1EFF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C723B" w:rsidRPr="006A1EFF">
              <w:rPr>
                <w:rFonts w:ascii="Arial" w:hAnsi="Arial"/>
                <w:b/>
                <w:sz w:val="16"/>
                <w:szCs w:val="16"/>
                <w:lang w:val="en-US"/>
              </w:rPr>
              <w:t>wenig</w:t>
            </w:r>
            <w:proofErr w:type="spellEnd"/>
          </w:p>
        </w:tc>
        <w:tc>
          <w:tcPr>
            <w:tcW w:w="689" w:type="dxa"/>
            <w:tcBorders>
              <w:bottom w:val="single" w:sz="4" w:space="0" w:color="auto"/>
            </w:tcBorders>
            <w:textDirection w:val="btLr"/>
          </w:tcPr>
          <w:p w:rsidR="00BC4F3C" w:rsidRPr="006A1EFF" w:rsidRDefault="00BC4F3C" w:rsidP="006A1EFF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spacing w:line="240" w:lineRule="auto"/>
              <w:ind w:right="-720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6A1EFF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9C723B" w:rsidRPr="006A1EFF">
              <w:rPr>
                <w:rFonts w:ascii="Arial" w:hAnsi="Arial"/>
                <w:b/>
                <w:sz w:val="16"/>
                <w:szCs w:val="16"/>
                <w:lang w:val="en-US"/>
              </w:rPr>
              <w:br/>
            </w:r>
            <w:proofErr w:type="spellStart"/>
            <w:r w:rsidR="009C723B" w:rsidRPr="006A1EFF">
              <w:rPr>
                <w:rFonts w:ascii="Arial" w:hAnsi="Arial"/>
                <w:b/>
                <w:sz w:val="16"/>
                <w:szCs w:val="16"/>
                <w:lang w:val="en-US"/>
              </w:rPr>
              <w:t>wenig</w:t>
            </w:r>
            <w:proofErr w:type="spellEnd"/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6A1EFF" w:rsidRDefault="00BC4F3C" w:rsidP="006A1EFF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spacing w:line="240" w:lineRule="auto"/>
              <w:ind w:right="-720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6A1EFF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="009C723B" w:rsidRPr="006A1EFF">
              <w:rPr>
                <w:rFonts w:ascii="Arial" w:hAnsi="Arial"/>
                <w:b/>
                <w:sz w:val="16"/>
                <w:szCs w:val="16"/>
                <w:lang w:val="en-US"/>
              </w:rPr>
              <w:br/>
            </w:r>
            <w:proofErr w:type="spellStart"/>
            <w:r w:rsidR="009C723B" w:rsidRPr="006A1EFF">
              <w:rPr>
                <w:rFonts w:ascii="Arial" w:hAnsi="Arial"/>
                <w:b/>
                <w:sz w:val="16"/>
                <w:szCs w:val="16"/>
                <w:lang w:val="en-US"/>
              </w:rPr>
              <w:t>moderat</w:t>
            </w:r>
            <w:proofErr w:type="spellEnd"/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6A1EFF" w:rsidRDefault="00BC4F3C" w:rsidP="006A1EFF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spacing w:line="240" w:lineRule="auto"/>
              <w:ind w:right="-720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6A1EFF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9C723B" w:rsidRPr="006A1EFF">
              <w:rPr>
                <w:rFonts w:ascii="Arial" w:hAnsi="Arial"/>
                <w:b/>
                <w:sz w:val="16"/>
                <w:szCs w:val="16"/>
                <w:lang w:val="en-US"/>
              </w:rPr>
              <w:br/>
              <w:t>stark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6A1EFF" w:rsidRDefault="00BC4F3C" w:rsidP="006A1EFF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spacing w:line="240" w:lineRule="auto"/>
              <w:ind w:right="-720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6A1EFF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9C723B" w:rsidRPr="006A1EFF">
              <w:rPr>
                <w:rFonts w:ascii="Arial" w:hAnsi="Arial"/>
                <w:b/>
                <w:sz w:val="16"/>
                <w:szCs w:val="16"/>
                <w:lang w:val="en-US"/>
              </w:rPr>
              <w:br/>
            </w:r>
            <w:proofErr w:type="spellStart"/>
            <w:r w:rsidR="009C723B" w:rsidRPr="006A1EFF">
              <w:rPr>
                <w:rFonts w:ascii="Arial" w:hAnsi="Arial"/>
                <w:b/>
                <w:sz w:val="16"/>
                <w:szCs w:val="16"/>
                <w:lang w:val="en-US"/>
              </w:rPr>
              <w:t>sehr</w:t>
            </w:r>
            <w:proofErr w:type="spellEnd"/>
            <w:r w:rsidR="009C723B" w:rsidRPr="006A1EFF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stark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6A1EFF" w:rsidRDefault="009C723B" w:rsidP="006A1EFF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spacing w:line="240" w:lineRule="auto"/>
              <w:ind w:right="-720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6A1EFF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="00BC4F3C" w:rsidRPr="006A1EFF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Pr="006A1EFF">
              <w:rPr>
                <w:rFonts w:ascii="Arial" w:hAnsi="Arial"/>
                <w:b/>
                <w:sz w:val="16"/>
                <w:szCs w:val="16"/>
                <w:lang w:val="en-US"/>
              </w:rPr>
              <w:br/>
            </w:r>
            <w:proofErr w:type="spellStart"/>
            <w:r w:rsidRPr="006A1EFF">
              <w:rPr>
                <w:rFonts w:ascii="Arial" w:hAnsi="Arial"/>
                <w:b/>
                <w:sz w:val="16"/>
                <w:szCs w:val="16"/>
                <w:lang w:val="en-US"/>
              </w:rPr>
              <w:t>extrem</w:t>
            </w:r>
            <w:proofErr w:type="spellEnd"/>
          </w:p>
        </w:tc>
      </w:tr>
      <w:tr w:rsidR="00BC4F3C" w:rsidRPr="00D945E4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nil"/>
            </w:tcBorders>
            <w:shd w:val="clear" w:color="auto" w:fill="DEEAF6" w:themeFill="accent1" w:themeFillTint="33"/>
          </w:tcPr>
          <w:p w:rsidR="009C723B" w:rsidRPr="00E52B51" w:rsidRDefault="00E25C34" w:rsidP="006E67C7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</w:rPr>
            </w:pPr>
            <w:r w:rsidRPr="00E52B51">
              <w:rPr>
                <w:rFonts w:ascii="Arial" w:hAnsi="Arial" w:cs="Arial"/>
                <w:b/>
                <w:sz w:val="20"/>
              </w:rPr>
              <w:t>Verabreichung</w:t>
            </w:r>
            <w:r w:rsidR="009C723B" w:rsidRPr="00E52B51">
              <w:rPr>
                <w:rFonts w:ascii="Arial" w:hAnsi="Arial" w:cs="Arial"/>
                <w:b/>
                <w:sz w:val="20"/>
              </w:rPr>
              <w:t xml:space="preserve"> enteraler Ernährung</w:t>
            </w:r>
          </w:p>
        </w:tc>
        <w:tc>
          <w:tcPr>
            <w:tcW w:w="688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D945E4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D945E4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D945E4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99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D945E4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78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D945E4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D945E4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01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D945E4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E52B51" w:rsidRDefault="009C723B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de-DE"/>
              </w:rPr>
            </w:pPr>
            <w:r w:rsidRPr="00E52B51">
              <w:rPr>
                <w:rFonts w:ascii="Arial" w:hAnsi="Arial" w:cs="Arial"/>
                <w:sz w:val="20"/>
                <w:lang w:val="de-DE"/>
              </w:rPr>
              <w:t>Verzögerung bei der initialen Verordnung der EN durch den Arzt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DEEAF6" w:themeFill="accent1" w:themeFillTint="33"/>
          </w:tcPr>
          <w:p w:rsidR="009C723B" w:rsidRPr="00E52B51" w:rsidRDefault="009C723B" w:rsidP="00E52B51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de-DE"/>
              </w:rPr>
            </w:pPr>
            <w:r w:rsidRPr="00E52B51">
              <w:rPr>
                <w:rFonts w:ascii="Arial" w:hAnsi="Arial" w:cs="Arial"/>
                <w:sz w:val="20"/>
                <w:lang w:val="de-DE"/>
              </w:rPr>
              <w:t xml:space="preserve">Warten auf den </w:t>
            </w:r>
            <w:r w:rsidR="004E2245" w:rsidRPr="00E52B51">
              <w:rPr>
                <w:rFonts w:ascii="Arial" w:hAnsi="Arial" w:cs="Arial"/>
                <w:sz w:val="20"/>
                <w:lang w:val="de-DE"/>
              </w:rPr>
              <w:t xml:space="preserve">Arzt, der zur Lagekontrolle </w:t>
            </w:r>
            <w:r w:rsidRPr="00E52B51">
              <w:rPr>
                <w:rFonts w:ascii="Arial" w:hAnsi="Arial" w:cs="Arial"/>
                <w:sz w:val="20"/>
                <w:lang w:val="de-DE"/>
              </w:rPr>
              <w:t xml:space="preserve">der Magensonde </w:t>
            </w:r>
            <w:r w:rsidR="004E2245" w:rsidRPr="00E52B51">
              <w:rPr>
                <w:rFonts w:ascii="Arial" w:hAnsi="Arial" w:cs="Arial"/>
                <w:sz w:val="20"/>
                <w:lang w:val="de-DE"/>
              </w:rPr>
              <w:t>eine Röntgenaufnahme an</w:t>
            </w:r>
            <w:r w:rsidRPr="00E52B51">
              <w:rPr>
                <w:rFonts w:ascii="Arial" w:hAnsi="Arial" w:cs="Arial"/>
                <w:sz w:val="20"/>
                <w:lang w:val="de-DE"/>
              </w:rPr>
              <w:t>ordnet und die Aufnahme</w:t>
            </w:r>
            <w:r w:rsidR="004E2245" w:rsidRPr="00E52B51">
              <w:rPr>
                <w:rFonts w:ascii="Arial" w:hAnsi="Arial" w:cs="Arial"/>
                <w:sz w:val="20"/>
                <w:lang w:val="de-DE"/>
              </w:rPr>
              <w:t xml:space="preserve"> überprüft</w:t>
            </w:r>
          </w:p>
        </w:tc>
        <w:tc>
          <w:tcPr>
            <w:tcW w:w="688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DEEAF6" w:themeFill="accent1" w:themeFillTint="33"/>
          </w:tcPr>
          <w:p w:rsidR="00BC4F3C" w:rsidRPr="00E52B51" w:rsidRDefault="004E2245" w:rsidP="004E2245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de-DE"/>
              </w:rPr>
            </w:pPr>
            <w:r w:rsidRPr="00E52B51">
              <w:rPr>
                <w:rFonts w:ascii="Arial" w:hAnsi="Arial" w:cs="Arial"/>
                <w:sz w:val="20"/>
                <w:lang w:val="de-DE"/>
              </w:rPr>
              <w:t>Häufige Fehllagen der Magensonde, Notwendigkeit der Neuanlage</w:t>
            </w:r>
          </w:p>
        </w:tc>
        <w:tc>
          <w:tcPr>
            <w:tcW w:w="688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DEEAF6" w:themeFill="accent1" w:themeFillTint="33"/>
          </w:tcPr>
          <w:p w:rsidR="004E2245" w:rsidRPr="00E52B51" w:rsidRDefault="004E2245" w:rsidP="004E2245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de-DE"/>
              </w:rPr>
            </w:pPr>
            <w:r w:rsidRPr="00E52B51">
              <w:rPr>
                <w:rFonts w:ascii="Arial" w:hAnsi="Arial" w:cs="Arial"/>
                <w:sz w:val="20"/>
                <w:lang w:val="de-DE"/>
              </w:rPr>
              <w:t>Verzögerung beim Einsatz von peristaltikfördernden Maßnahmen bei Patienten mit schwierigem Kostaufbau (z.B. hohen Magenresten)</w:t>
            </w:r>
          </w:p>
        </w:tc>
        <w:tc>
          <w:tcPr>
            <w:tcW w:w="688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c>
          <w:tcPr>
            <w:tcW w:w="5352" w:type="dxa"/>
            <w:shd w:val="clear" w:color="auto" w:fill="DEEAF6" w:themeFill="accent1" w:themeFillTint="33"/>
          </w:tcPr>
          <w:p w:rsidR="00BC4F3C" w:rsidRPr="00E52B51" w:rsidRDefault="004E2245" w:rsidP="006E67C7">
            <w:pPr>
              <w:pStyle w:val="ColorfulList-Accent11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  <w:u w:val="single"/>
                <w:lang w:val="de-DE"/>
              </w:rPr>
            </w:pPr>
            <w:r w:rsidRPr="00E52B51">
              <w:rPr>
                <w:rFonts w:ascii="Arial" w:hAnsi="Arial" w:cs="Arial"/>
                <w:sz w:val="20"/>
                <w:lang w:val="de-DE"/>
              </w:rPr>
              <w:t>Verzögerungen und Schwierigkeiten bei der Anlage einer Duodenalsonde bei Patienten mit schwierigem Kostaufbau (z.B. hohen Magenresten)</w:t>
            </w:r>
          </w:p>
        </w:tc>
        <w:tc>
          <w:tcPr>
            <w:tcW w:w="688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DEEAF6" w:themeFill="accent1" w:themeFillTint="33"/>
          </w:tcPr>
          <w:p w:rsidR="00BC4F3C" w:rsidRPr="00E52B51" w:rsidRDefault="004E2245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de-DE"/>
              </w:rPr>
            </w:pPr>
            <w:r w:rsidRPr="00E52B51">
              <w:rPr>
                <w:rFonts w:ascii="Arial" w:hAnsi="Arial" w:cs="Arial"/>
                <w:sz w:val="20"/>
                <w:lang w:val="de-DE"/>
              </w:rPr>
              <w:t>Bei reanimierten, hämodynamisch stabilen Patienten sind andere Aspekte immer noch wichtiger als die Ernährung</w:t>
            </w:r>
          </w:p>
        </w:tc>
        <w:tc>
          <w:tcPr>
            <w:tcW w:w="688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E52B51" w:rsidRDefault="00E25C34" w:rsidP="00E25C34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52B51">
              <w:rPr>
                <w:rFonts w:ascii="Arial" w:hAnsi="Arial" w:cs="Arial"/>
                <w:sz w:val="20"/>
                <w:szCs w:val="20"/>
                <w:lang w:val="de-DE"/>
              </w:rPr>
              <w:t>Ernährungstherapeutische Aspekte werden während der Visiten nicht routinemäßig besprochen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007ED4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E52B51" w:rsidRDefault="00E25C34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52B51">
              <w:rPr>
                <w:rFonts w:ascii="Arial" w:hAnsi="Arial" w:cs="Arial"/>
                <w:sz w:val="20"/>
                <w:szCs w:val="20"/>
              </w:rPr>
              <w:t xml:space="preserve">Starke </w:t>
            </w:r>
            <w:proofErr w:type="spellStart"/>
            <w:r w:rsidRPr="00E52B51">
              <w:rPr>
                <w:rFonts w:ascii="Arial" w:hAnsi="Arial" w:cs="Arial"/>
                <w:sz w:val="20"/>
                <w:szCs w:val="20"/>
              </w:rPr>
              <w:t>Flüssigkeitsrestriktion</w:t>
            </w:r>
            <w:proofErr w:type="spellEnd"/>
            <w:r w:rsidRPr="00E52B5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52B51">
              <w:rPr>
                <w:rFonts w:ascii="Arial" w:hAnsi="Arial" w:cs="Arial"/>
                <w:sz w:val="20"/>
                <w:szCs w:val="20"/>
              </w:rPr>
              <w:t>insbesonde</w:t>
            </w:r>
            <w:proofErr w:type="spellEnd"/>
            <w:r w:rsidRPr="00E52B51">
              <w:rPr>
                <w:rFonts w:ascii="Arial" w:hAnsi="Arial" w:cs="Arial"/>
                <w:sz w:val="20"/>
                <w:szCs w:val="20"/>
              </w:rPr>
              <w:t xml:space="preserve"> in der post-</w:t>
            </w:r>
            <w:proofErr w:type="spellStart"/>
            <w:r w:rsidRPr="00E52B51">
              <w:rPr>
                <w:rFonts w:ascii="Arial" w:hAnsi="Arial" w:cs="Arial"/>
                <w:sz w:val="20"/>
                <w:szCs w:val="20"/>
              </w:rPr>
              <w:t>operativen</w:t>
            </w:r>
            <w:proofErr w:type="spellEnd"/>
            <w:r w:rsidRPr="00E52B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2B51">
              <w:rPr>
                <w:rFonts w:ascii="Arial" w:hAnsi="Arial" w:cs="Arial"/>
                <w:sz w:val="20"/>
                <w:szCs w:val="20"/>
              </w:rPr>
              <w:t>Kardiochirurgie</w:t>
            </w:r>
            <w:proofErr w:type="spellEnd"/>
            <w:r w:rsidRPr="00E52B5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007ED4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E52B51" w:rsidRDefault="00E25C34" w:rsidP="00007ED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52B51">
              <w:rPr>
                <w:rFonts w:ascii="Arial" w:hAnsi="Arial" w:cs="Arial"/>
                <w:sz w:val="20"/>
                <w:szCs w:val="20"/>
                <w:lang w:val="de-DE"/>
              </w:rPr>
              <w:t>Konservatives Ernährungsregime auf der Kinderintensivstation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977B5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nil"/>
            </w:tcBorders>
            <w:shd w:val="clear" w:color="auto" w:fill="FBE4D5" w:themeFill="accent2" w:themeFillTint="33"/>
          </w:tcPr>
          <w:p w:rsidR="00BC4F3C" w:rsidRDefault="00E25C34" w:rsidP="00E25C34">
            <w:pPr>
              <w:pStyle w:val="ColorfulList-Accent11"/>
              <w:ind w:left="360" w:hanging="360"/>
              <w:rPr>
                <w:rFonts w:ascii="Arial" w:hAnsi="Arial" w:cs="Arial"/>
                <w:b/>
                <w:sz w:val="20"/>
                <w:lang w:val="de-DE"/>
              </w:rPr>
            </w:pPr>
            <w:r w:rsidRPr="00E52B51">
              <w:rPr>
                <w:rFonts w:ascii="Arial" w:hAnsi="Arial" w:cs="Arial"/>
                <w:b/>
                <w:sz w:val="20"/>
                <w:lang w:val="de-DE"/>
              </w:rPr>
              <w:t>Unterstützung durch Diätassistent</w:t>
            </w:r>
          </w:p>
          <w:p w:rsidR="00B86FC0" w:rsidRPr="00E52B51" w:rsidRDefault="00B86FC0" w:rsidP="00E25C34">
            <w:pPr>
              <w:pStyle w:val="ColorfulList-Accent11"/>
              <w:ind w:left="360" w:hanging="360"/>
              <w:rPr>
                <w:rFonts w:ascii="Arial" w:hAnsi="Arial" w:cs="Arial"/>
                <w:b/>
                <w:sz w:val="20"/>
                <w:lang w:val="de-DE"/>
              </w:rPr>
            </w:pPr>
            <w:r w:rsidRPr="00B86FC0">
              <w:rPr>
                <w:lang w:val="de-DE"/>
              </w:rPr>
              <w:t>Bitte überspringen Sie die folgenden 4 Fragen, wenn Sie keinen Diätassistenten/keine Diätassistentin zur Verfügung haben</w:t>
            </w:r>
            <w:bookmarkStart w:id="0" w:name="_GoBack"/>
            <w:bookmarkEnd w:id="0"/>
          </w:p>
        </w:tc>
        <w:tc>
          <w:tcPr>
            <w:tcW w:w="688" w:type="dxa"/>
            <w:tcBorders>
              <w:bottom w:val="nil"/>
            </w:tcBorders>
            <w:shd w:val="clear" w:color="auto" w:fill="FBE4D5" w:themeFill="accent2" w:themeFillTint="33"/>
          </w:tcPr>
          <w:p w:rsidR="00BC4F3C" w:rsidRPr="00E25C34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FBE4D5" w:themeFill="accent2" w:themeFillTint="33"/>
          </w:tcPr>
          <w:p w:rsidR="00BC4F3C" w:rsidRPr="00E25C34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FBE4D5" w:themeFill="accent2" w:themeFillTint="33"/>
          </w:tcPr>
          <w:p w:rsidR="00BC4F3C" w:rsidRPr="00E25C34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799" w:type="dxa"/>
            <w:tcBorders>
              <w:bottom w:val="nil"/>
            </w:tcBorders>
            <w:shd w:val="clear" w:color="auto" w:fill="FBE4D5" w:themeFill="accent2" w:themeFillTint="33"/>
          </w:tcPr>
          <w:p w:rsidR="00BC4F3C" w:rsidRPr="00E25C34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578" w:type="dxa"/>
            <w:tcBorders>
              <w:bottom w:val="nil"/>
            </w:tcBorders>
            <w:shd w:val="clear" w:color="auto" w:fill="FBE4D5" w:themeFill="accent2" w:themeFillTint="33"/>
          </w:tcPr>
          <w:p w:rsidR="00BC4F3C" w:rsidRPr="00E25C34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FBE4D5" w:themeFill="accent2" w:themeFillTint="33"/>
          </w:tcPr>
          <w:p w:rsidR="00BC4F3C" w:rsidRPr="00E25C34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1001" w:type="dxa"/>
            <w:tcBorders>
              <w:bottom w:val="nil"/>
            </w:tcBorders>
            <w:shd w:val="clear" w:color="auto" w:fill="FBE4D5" w:themeFill="accent2" w:themeFillTint="33"/>
          </w:tcPr>
          <w:p w:rsidR="00BC4F3C" w:rsidRPr="00E25C34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de-DE"/>
              </w:rPr>
            </w:pP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E52B51" w:rsidRDefault="00E25C34" w:rsidP="00E52B51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de-DE"/>
              </w:rPr>
            </w:pPr>
            <w:r w:rsidRPr="00E52B51">
              <w:rPr>
                <w:rFonts w:ascii="Arial" w:hAnsi="Arial" w:cs="Arial"/>
                <w:sz w:val="20"/>
                <w:lang w:val="de-DE"/>
              </w:rPr>
              <w:t xml:space="preserve">Warten auf den Diätassistenten, der die Einschätzung des Patienten vornehmen soll 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FBE4D5" w:themeFill="accent2" w:themeFillTint="33"/>
          </w:tcPr>
          <w:p w:rsidR="00BC4F3C" w:rsidRPr="00E52B51" w:rsidRDefault="00E25C34" w:rsidP="000E0A0A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de-DE"/>
              </w:rPr>
            </w:pPr>
            <w:r w:rsidRPr="00E52B51">
              <w:rPr>
                <w:rFonts w:ascii="Arial" w:hAnsi="Arial" w:cs="Arial"/>
                <w:sz w:val="20"/>
                <w:lang w:val="de-DE"/>
              </w:rPr>
              <w:t xml:space="preserve">Diätassistent während der Visite an Wochentagen </w:t>
            </w:r>
            <w:r w:rsidR="000E0A0A" w:rsidRPr="00E52B51">
              <w:rPr>
                <w:rFonts w:ascii="Arial" w:hAnsi="Arial" w:cs="Arial"/>
                <w:sz w:val="20"/>
                <w:lang w:val="de-DE"/>
              </w:rPr>
              <w:t xml:space="preserve">nicht routinemäßig </w:t>
            </w:r>
            <w:r w:rsidRPr="00E52B51">
              <w:rPr>
                <w:rFonts w:ascii="Arial" w:hAnsi="Arial" w:cs="Arial"/>
                <w:sz w:val="20"/>
                <w:lang w:val="de-DE"/>
              </w:rPr>
              <w:t>anwesend</w:t>
            </w:r>
          </w:p>
        </w:tc>
        <w:tc>
          <w:tcPr>
            <w:tcW w:w="688" w:type="dxa"/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E52B51" w:rsidRDefault="00E25C34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de-DE"/>
              </w:rPr>
            </w:pPr>
            <w:r w:rsidRPr="00E52B51">
              <w:rPr>
                <w:rFonts w:ascii="Arial" w:hAnsi="Arial" w:cs="Arial"/>
                <w:sz w:val="20"/>
                <w:lang w:val="de-DE"/>
              </w:rPr>
              <w:lastRenderedPageBreak/>
              <w:t>Keine oder n</w:t>
            </w:r>
            <w:r w:rsidR="000E0A0A" w:rsidRPr="00E52B51">
              <w:rPr>
                <w:rFonts w:ascii="Arial" w:hAnsi="Arial" w:cs="Arial"/>
                <w:sz w:val="20"/>
                <w:lang w:val="de-DE"/>
              </w:rPr>
              <w:t>icht genug Unterstützung durch D</w:t>
            </w:r>
            <w:r w:rsidRPr="00E52B51">
              <w:rPr>
                <w:rFonts w:ascii="Arial" w:hAnsi="Arial" w:cs="Arial"/>
                <w:sz w:val="20"/>
                <w:lang w:val="de-DE"/>
              </w:rPr>
              <w:t>iät</w:t>
            </w:r>
            <w:r w:rsidR="000E0A0A" w:rsidRPr="00E52B51">
              <w:rPr>
                <w:rFonts w:ascii="Arial" w:hAnsi="Arial" w:cs="Arial"/>
                <w:sz w:val="20"/>
                <w:lang w:val="de-DE"/>
              </w:rPr>
              <w:t>assistenz in den Abendstunden, an Wochenenden und in den Ferien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E52B51" w:rsidRDefault="000E0A0A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de-DE"/>
              </w:rPr>
            </w:pPr>
            <w:r w:rsidRPr="00E52B51">
              <w:rPr>
                <w:rFonts w:ascii="Arial" w:hAnsi="Arial" w:cs="Arial"/>
                <w:sz w:val="20"/>
                <w:lang w:val="de-DE"/>
              </w:rPr>
              <w:t xml:space="preserve">Nicht genügend Zeit vorgesehen für die Fortbildung und das Training bezüglich der optimalen Ernährung von kritisch kranken Patienten </w:t>
            </w:r>
          </w:p>
          <w:p w:rsidR="00BC4F3C" w:rsidRPr="00E52B51" w:rsidRDefault="00BC4F3C" w:rsidP="00007ED4">
            <w:pPr>
              <w:pStyle w:val="ColorfulList-Accent11"/>
              <w:ind w:left="0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D945E4" w:rsidTr="006E67C7"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BC4F3C" w:rsidRDefault="00BC4F3C" w:rsidP="006E67C7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</w:rPr>
            </w:pPr>
          </w:p>
          <w:p w:rsidR="00BC4F3C" w:rsidRDefault="00BC4F3C" w:rsidP="006E67C7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</w:rPr>
            </w:pPr>
          </w:p>
          <w:p w:rsidR="00BC4F3C" w:rsidRPr="00D945E4" w:rsidRDefault="00BC4F3C" w:rsidP="006E67C7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left="113"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Not at all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Very little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A little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BC4F3C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A moderate </w:t>
            </w:r>
          </w:p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amount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A lot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A great deal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BC4F3C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An extreme </w:t>
            </w:r>
          </w:p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amount</w:t>
            </w:r>
          </w:p>
        </w:tc>
      </w:tr>
      <w:tr w:rsidR="00BC4F3C" w:rsidRPr="0063222E" w:rsidTr="006E67C7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nil"/>
            </w:tcBorders>
            <w:shd w:val="clear" w:color="auto" w:fill="auto"/>
          </w:tcPr>
          <w:p w:rsidR="00BC4F3C" w:rsidRPr="00E52B51" w:rsidRDefault="000E0A0A" w:rsidP="006E67C7">
            <w:pPr>
              <w:pStyle w:val="ColorfulList-Accent11"/>
              <w:ind w:left="360" w:hanging="360"/>
              <w:rPr>
                <w:rFonts w:ascii="Arial" w:hAnsi="Arial" w:cs="Arial"/>
                <w:b/>
                <w:sz w:val="20"/>
              </w:rPr>
            </w:pPr>
            <w:r w:rsidRPr="00E52B51">
              <w:rPr>
                <w:rFonts w:ascii="Arial" w:hAnsi="Arial" w:cs="Arial"/>
                <w:b/>
                <w:sz w:val="20"/>
              </w:rPr>
              <w:t>PICU Resourcen</w:t>
            </w:r>
          </w:p>
        </w:tc>
        <w:tc>
          <w:tcPr>
            <w:tcW w:w="688" w:type="dxa"/>
            <w:tcBorders>
              <w:bottom w:val="nil"/>
            </w:tcBorders>
            <w:shd w:val="clear" w:color="auto" w:fill="auto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auto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99" w:type="dxa"/>
            <w:tcBorders>
              <w:bottom w:val="nil"/>
            </w:tcBorders>
            <w:shd w:val="clear" w:color="auto" w:fill="auto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78" w:type="dxa"/>
            <w:tcBorders>
              <w:bottom w:val="nil"/>
            </w:tcBorders>
            <w:shd w:val="clear" w:color="auto" w:fill="auto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auto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01" w:type="dxa"/>
            <w:tcBorders>
              <w:bottom w:val="nil"/>
            </w:tcBorders>
            <w:shd w:val="clear" w:color="auto" w:fill="auto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</w:tr>
      <w:tr w:rsidR="00BC4F3C" w:rsidRPr="004246C3" w:rsidTr="006E67C7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top w:val="nil"/>
            </w:tcBorders>
            <w:shd w:val="clear" w:color="auto" w:fill="auto"/>
          </w:tcPr>
          <w:p w:rsidR="00BC4F3C" w:rsidRPr="00E52B51" w:rsidRDefault="00BB315A" w:rsidP="00BB315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52B51">
              <w:rPr>
                <w:rFonts w:ascii="Arial" w:hAnsi="Arial" w:cs="Arial"/>
                <w:sz w:val="20"/>
                <w:szCs w:val="20"/>
                <w:lang w:val="de-DE"/>
              </w:rPr>
              <w:t>Verzögerungen bei Herstellen oder Bestellen von aussergewöhnlichen Nahrungen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</w:tcBorders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top w:val="nil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top w:val="nil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6E67C7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</w:tcPr>
          <w:p w:rsidR="00BC4F3C" w:rsidRPr="00E52B51" w:rsidRDefault="00BB315A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de-DE"/>
              </w:rPr>
            </w:pPr>
            <w:r w:rsidRPr="00E52B51">
              <w:rPr>
                <w:rFonts w:ascii="Arial" w:hAnsi="Arial" w:cs="Arial"/>
                <w:sz w:val="20"/>
                <w:lang w:val="de-DE"/>
              </w:rPr>
              <w:t>Keine oder zu wenig Ernährungspumpem auf der Station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977B5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E52B51" w:rsidRDefault="004977B5" w:rsidP="006E67C7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  <w:lang w:val="de-DE"/>
              </w:rPr>
            </w:pPr>
            <w:r w:rsidRPr="00E52B51">
              <w:rPr>
                <w:rFonts w:ascii="Arial" w:hAnsi="Arial" w:cs="Arial"/>
                <w:b/>
                <w:sz w:val="20"/>
                <w:lang w:val="de-DE"/>
              </w:rPr>
              <w:t>Einstellungen und Verhaltensweisen von Mitarbeitern im Gesundheitswesen</w:t>
            </w:r>
          </w:p>
        </w:tc>
        <w:tc>
          <w:tcPr>
            <w:tcW w:w="688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4977B5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4977B5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4977B5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799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4977B5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578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4977B5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4977B5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1001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4977B5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de-DE"/>
              </w:rPr>
            </w:pP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C63405" w:rsidRDefault="004977B5" w:rsidP="004977B5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de-DE"/>
              </w:rPr>
            </w:pPr>
            <w:r w:rsidRPr="00C63405">
              <w:rPr>
                <w:rFonts w:ascii="Arial" w:hAnsi="Arial" w:cs="Arial"/>
                <w:sz w:val="20"/>
                <w:lang w:val="de-DE"/>
              </w:rPr>
              <w:t>Fachärzte ohne spezifische Erfahrungen im Kinderintensivbereich (z.B. Chirurgen, Gastroenterologen) wünschen keine enterale Ernährung des Patienten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E2EFD9" w:themeFill="accent6" w:themeFillTint="33"/>
          </w:tcPr>
          <w:p w:rsidR="00BC4F3C" w:rsidRPr="00C63405" w:rsidRDefault="004977B5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de-DE"/>
              </w:rPr>
            </w:pPr>
            <w:r w:rsidRPr="00C63405">
              <w:rPr>
                <w:rFonts w:ascii="Arial" w:hAnsi="Arial" w:cs="Arial"/>
                <w:sz w:val="20"/>
                <w:lang w:val="de-DE"/>
              </w:rPr>
              <w:t>Pflegekräfte halten sich nicht an die Richtlinien zur enteralen Ernährung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E2EFD9" w:themeFill="accent6" w:themeFillTint="33"/>
          </w:tcPr>
          <w:p w:rsidR="00BC4F3C" w:rsidRPr="00C63405" w:rsidRDefault="004977B5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de-DE"/>
              </w:rPr>
            </w:pPr>
            <w:r w:rsidRPr="00C63405">
              <w:rPr>
                <w:rFonts w:ascii="Arial" w:hAnsi="Arial" w:cs="Arial"/>
                <w:sz w:val="20"/>
                <w:lang w:val="de-DE"/>
              </w:rPr>
              <w:t>Enterale Ernährung wird gestoppt bei Diarrhoe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E2EFD9" w:themeFill="accent6" w:themeFillTint="33"/>
          </w:tcPr>
          <w:p w:rsidR="00BC4F3C" w:rsidRPr="00C63405" w:rsidRDefault="000D27A6" w:rsidP="000D27A6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C63405">
              <w:rPr>
                <w:rFonts w:ascii="Arial" w:hAnsi="Arial" w:cs="Arial"/>
                <w:sz w:val="20"/>
              </w:rPr>
              <w:t xml:space="preserve">Angst </w:t>
            </w:r>
            <w:proofErr w:type="spellStart"/>
            <w:r w:rsidRPr="00C63405">
              <w:rPr>
                <w:rFonts w:ascii="Arial" w:hAnsi="Arial" w:cs="Arial"/>
                <w:sz w:val="20"/>
              </w:rPr>
              <w:t>vor</w:t>
            </w:r>
            <w:proofErr w:type="spellEnd"/>
            <w:r w:rsidRPr="00C6340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63405">
              <w:rPr>
                <w:rFonts w:ascii="Arial" w:hAnsi="Arial" w:cs="Arial"/>
                <w:sz w:val="20"/>
              </w:rPr>
              <w:t>Nebenwirkungen</w:t>
            </w:r>
            <w:proofErr w:type="spellEnd"/>
            <w:r w:rsidRPr="00C6340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63405">
              <w:rPr>
                <w:rFonts w:ascii="Arial" w:hAnsi="Arial" w:cs="Arial"/>
                <w:sz w:val="20"/>
              </w:rPr>
              <w:t>durch</w:t>
            </w:r>
            <w:proofErr w:type="spellEnd"/>
            <w:r w:rsidRPr="00C6340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63405">
              <w:rPr>
                <w:rFonts w:ascii="Arial" w:hAnsi="Arial" w:cs="Arial"/>
                <w:sz w:val="20"/>
              </w:rPr>
              <w:t>einen</w:t>
            </w:r>
            <w:proofErr w:type="spellEnd"/>
            <w:r w:rsidRPr="00C6340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63405">
              <w:rPr>
                <w:rFonts w:ascii="Arial" w:hAnsi="Arial" w:cs="Arial"/>
                <w:sz w:val="20"/>
              </w:rPr>
              <w:t>forcierten</w:t>
            </w:r>
            <w:proofErr w:type="spellEnd"/>
            <w:r w:rsidRPr="00C6340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63405">
              <w:rPr>
                <w:rFonts w:ascii="Arial" w:hAnsi="Arial" w:cs="Arial"/>
                <w:sz w:val="20"/>
              </w:rPr>
              <w:t>Kostaufbau</w:t>
            </w:r>
            <w:proofErr w:type="spellEnd"/>
            <w:r w:rsidRPr="00C63405">
              <w:rPr>
                <w:rFonts w:ascii="Arial" w:hAnsi="Arial" w:cs="Arial"/>
                <w:sz w:val="20"/>
              </w:rPr>
              <w:t xml:space="preserve"> </w:t>
            </w:r>
            <w:r w:rsidR="00BC4F3C" w:rsidRPr="00C6340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0D27A6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E2EFD9" w:themeFill="accent6" w:themeFillTint="33"/>
          </w:tcPr>
          <w:p w:rsidR="00BC4F3C" w:rsidRPr="00C63405" w:rsidRDefault="000D27A6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de-DE"/>
              </w:rPr>
            </w:pPr>
            <w:r w:rsidRPr="00C63405">
              <w:rPr>
                <w:rFonts w:ascii="Arial" w:hAnsi="Arial" w:cs="Arial"/>
                <w:sz w:val="20"/>
                <w:lang w:val="de-DE"/>
              </w:rPr>
              <w:t>Enterale Ernährung wird gestoppt bei bestimmten Prozeduren, wie z.B. Physiotherapie, Lagerungen und bei der Verabreichung bestimmter Medikationen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:rsidR="00BC4F3C" w:rsidRPr="000D27A6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de-DE"/>
              </w:rPr>
            </w:pPr>
            <w:r w:rsidRPr="000D27A6">
              <w:rPr>
                <w:rFonts w:ascii="Arial" w:hAnsi="Arial"/>
                <w:b/>
                <w:sz w:val="20"/>
                <w:lang w:val="de-DE"/>
              </w:rPr>
              <w:t>0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0D27A6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de-DE"/>
              </w:rPr>
            </w:pPr>
            <w:r w:rsidRPr="000D27A6">
              <w:rPr>
                <w:rFonts w:ascii="Arial" w:hAnsi="Arial"/>
                <w:b/>
                <w:sz w:val="20"/>
                <w:lang w:val="de-DE"/>
              </w:rPr>
              <w:t>1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0D27A6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de-DE"/>
              </w:rPr>
            </w:pPr>
            <w:r w:rsidRPr="000D27A6">
              <w:rPr>
                <w:rFonts w:ascii="Arial" w:hAnsi="Arial"/>
                <w:b/>
                <w:sz w:val="20"/>
                <w:lang w:val="de-DE"/>
              </w:rPr>
              <w:t>2</w:t>
            </w:r>
          </w:p>
        </w:tc>
        <w:tc>
          <w:tcPr>
            <w:tcW w:w="799" w:type="dxa"/>
            <w:shd w:val="clear" w:color="auto" w:fill="E2EFD9" w:themeFill="accent6" w:themeFillTint="33"/>
          </w:tcPr>
          <w:p w:rsidR="00BC4F3C" w:rsidRPr="000D27A6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de-DE"/>
              </w:rPr>
            </w:pPr>
            <w:r w:rsidRPr="000D27A6">
              <w:rPr>
                <w:rFonts w:ascii="Arial" w:hAnsi="Arial"/>
                <w:b/>
                <w:sz w:val="20"/>
                <w:lang w:val="de-DE"/>
              </w:rPr>
              <w:t>3</w:t>
            </w:r>
          </w:p>
        </w:tc>
        <w:tc>
          <w:tcPr>
            <w:tcW w:w="578" w:type="dxa"/>
            <w:shd w:val="clear" w:color="auto" w:fill="E2EFD9" w:themeFill="accent6" w:themeFillTint="33"/>
          </w:tcPr>
          <w:p w:rsidR="00BC4F3C" w:rsidRPr="000D27A6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de-DE"/>
              </w:rPr>
            </w:pPr>
            <w:r w:rsidRPr="000D27A6">
              <w:rPr>
                <w:rFonts w:ascii="Arial" w:hAnsi="Arial"/>
                <w:b/>
                <w:sz w:val="20"/>
                <w:lang w:val="de-DE"/>
              </w:rPr>
              <w:t>4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0D27A6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de-DE"/>
              </w:rPr>
            </w:pPr>
            <w:r w:rsidRPr="000D27A6">
              <w:rPr>
                <w:rFonts w:ascii="Arial" w:hAnsi="Arial"/>
                <w:b/>
                <w:sz w:val="20"/>
                <w:lang w:val="de-DE"/>
              </w:rPr>
              <w:t>5</w:t>
            </w:r>
          </w:p>
        </w:tc>
        <w:tc>
          <w:tcPr>
            <w:tcW w:w="1001" w:type="dxa"/>
            <w:shd w:val="clear" w:color="auto" w:fill="E2EFD9" w:themeFill="accent6" w:themeFillTint="33"/>
          </w:tcPr>
          <w:p w:rsidR="00BC4F3C" w:rsidRPr="000D27A6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de-DE"/>
              </w:rPr>
            </w:pPr>
            <w:r w:rsidRPr="000D27A6">
              <w:rPr>
                <w:rFonts w:ascii="Arial" w:hAnsi="Arial"/>
                <w:b/>
                <w:sz w:val="20"/>
                <w:lang w:val="de-DE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E2EFD9" w:themeFill="accent6" w:themeFillTint="33"/>
          </w:tcPr>
          <w:p w:rsidR="00BC4F3C" w:rsidRPr="00C63405" w:rsidRDefault="000D27A6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proofErr w:type="spellStart"/>
            <w:r w:rsidRPr="00C63405">
              <w:rPr>
                <w:rFonts w:ascii="Arial" w:hAnsi="Arial" w:cs="Arial"/>
                <w:sz w:val="20"/>
              </w:rPr>
              <w:t>Enterale</w:t>
            </w:r>
            <w:proofErr w:type="spellEnd"/>
            <w:r w:rsidRPr="00C63405">
              <w:rPr>
                <w:rFonts w:ascii="Arial" w:hAnsi="Arial" w:cs="Arial"/>
                <w:sz w:val="20"/>
              </w:rPr>
              <w:t xml:space="preserve"> Ernährung </w:t>
            </w:r>
            <w:proofErr w:type="spellStart"/>
            <w:r w:rsidRPr="00C63405">
              <w:rPr>
                <w:rFonts w:ascii="Arial" w:hAnsi="Arial" w:cs="Arial"/>
                <w:sz w:val="20"/>
              </w:rPr>
              <w:t>bleibt</w:t>
            </w:r>
            <w:proofErr w:type="spellEnd"/>
            <w:r w:rsidRPr="00C6340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63405">
              <w:rPr>
                <w:rFonts w:ascii="Arial" w:hAnsi="Arial" w:cs="Arial"/>
                <w:sz w:val="20"/>
              </w:rPr>
              <w:t>gestoppt</w:t>
            </w:r>
            <w:proofErr w:type="spellEnd"/>
            <w:r w:rsidRPr="00C6340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63405">
              <w:rPr>
                <w:rFonts w:ascii="Arial" w:hAnsi="Arial" w:cs="Arial"/>
                <w:sz w:val="20"/>
              </w:rPr>
              <w:t>vor</w:t>
            </w:r>
            <w:proofErr w:type="spellEnd"/>
            <w:r w:rsidRPr="00C6340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63405">
              <w:rPr>
                <w:rFonts w:ascii="Arial" w:hAnsi="Arial" w:cs="Arial"/>
                <w:sz w:val="20"/>
              </w:rPr>
              <w:t>Prozeduren</w:t>
            </w:r>
            <w:proofErr w:type="spellEnd"/>
            <w:r w:rsidRPr="00C6340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63405">
              <w:rPr>
                <w:rFonts w:ascii="Arial" w:hAnsi="Arial" w:cs="Arial"/>
                <w:sz w:val="20"/>
              </w:rPr>
              <w:t>oder</w:t>
            </w:r>
            <w:proofErr w:type="spellEnd"/>
            <w:r w:rsidRPr="00C63405">
              <w:rPr>
                <w:rFonts w:ascii="Arial" w:hAnsi="Arial" w:cs="Arial"/>
                <w:sz w:val="20"/>
              </w:rPr>
              <w:t xml:space="preserve">  operative </w:t>
            </w:r>
            <w:proofErr w:type="spellStart"/>
            <w:r w:rsidRPr="00C63405">
              <w:rPr>
                <w:rFonts w:ascii="Arial" w:hAnsi="Arial" w:cs="Arial"/>
                <w:sz w:val="20"/>
              </w:rPr>
              <w:t>Eingriffen</w:t>
            </w:r>
            <w:proofErr w:type="spellEnd"/>
          </w:p>
        </w:tc>
        <w:tc>
          <w:tcPr>
            <w:tcW w:w="688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D27A6" w:rsidRPr="00C63405" w:rsidRDefault="000D27A6" w:rsidP="000D27A6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de-DE"/>
              </w:rPr>
            </w:pPr>
            <w:r w:rsidRPr="00C63405">
              <w:rPr>
                <w:rFonts w:ascii="Arial" w:hAnsi="Arial" w:cs="Arial"/>
                <w:sz w:val="20"/>
                <w:lang w:val="de-DE"/>
              </w:rPr>
              <w:t>Wenig Vertrautheit mit den aktuellen Richtlinien zur Ernährung auf der Kinderintensivstation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007ED4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E2EFD9" w:themeFill="accent6" w:themeFillTint="33"/>
          </w:tcPr>
          <w:p w:rsidR="00BC4F3C" w:rsidRPr="00C63405" w:rsidRDefault="000D27A6" w:rsidP="00C63405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de-DE"/>
              </w:rPr>
            </w:pPr>
            <w:r w:rsidRPr="00C63405">
              <w:rPr>
                <w:rFonts w:ascii="Arial" w:hAnsi="Arial" w:cs="Arial"/>
                <w:sz w:val="20"/>
                <w:lang w:val="de-DE"/>
              </w:rPr>
              <w:t>Generelle Einstellung im PICU Team, dass eine adäquate Ernährung sich nicht auf das Outcome des Patienten auswirkt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007ED4" w:rsidRPr="004246C3" w:rsidTr="00007ED4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E2EFD9" w:themeFill="accent6" w:themeFillTint="33"/>
          </w:tcPr>
          <w:p w:rsidR="00007ED4" w:rsidRPr="00C63405" w:rsidRDefault="000D27A6" w:rsidP="00F0366F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3405">
              <w:rPr>
                <w:rFonts w:ascii="Arial" w:hAnsi="Arial" w:cs="Arial"/>
                <w:sz w:val="20"/>
                <w:szCs w:val="20"/>
              </w:rPr>
              <w:t>Ma</w:t>
            </w:r>
            <w:r w:rsidR="00F0366F" w:rsidRPr="00C63405">
              <w:rPr>
                <w:rFonts w:ascii="Arial" w:hAnsi="Arial" w:cs="Arial"/>
                <w:sz w:val="20"/>
                <w:szCs w:val="20"/>
              </w:rPr>
              <w:t>ngelndes</w:t>
            </w:r>
            <w:proofErr w:type="spellEnd"/>
            <w:r w:rsidR="00F0366F" w:rsidRPr="00C634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0366F" w:rsidRPr="00C63405">
              <w:rPr>
                <w:rFonts w:ascii="Arial" w:hAnsi="Arial" w:cs="Arial"/>
                <w:sz w:val="20"/>
                <w:szCs w:val="20"/>
              </w:rPr>
              <w:t>Wissen</w:t>
            </w:r>
            <w:proofErr w:type="spellEnd"/>
            <w:r w:rsidR="00F0366F" w:rsidRPr="00C63405"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spellStart"/>
            <w:r w:rsidR="00F0366F" w:rsidRPr="00C63405">
              <w:rPr>
                <w:rFonts w:ascii="Arial" w:hAnsi="Arial" w:cs="Arial"/>
                <w:sz w:val="20"/>
                <w:szCs w:val="20"/>
              </w:rPr>
              <w:t>mangelnde</w:t>
            </w:r>
            <w:proofErr w:type="spellEnd"/>
            <w:r w:rsidR="00F0366F" w:rsidRPr="00C634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0366F" w:rsidRPr="00C63405">
              <w:rPr>
                <w:rFonts w:ascii="Arial" w:hAnsi="Arial" w:cs="Arial"/>
                <w:sz w:val="20"/>
                <w:szCs w:val="20"/>
              </w:rPr>
              <w:t>U</w:t>
            </w:r>
            <w:r w:rsidRPr="00C63405">
              <w:rPr>
                <w:rFonts w:ascii="Arial" w:hAnsi="Arial" w:cs="Arial"/>
                <w:sz w:val="20"/>
                <w:szCs w:val="20"/>
              </w:rPr>
              <w:t>nterstützung</w:t>
            </w:r>
            <w:proofErr w:type="spellEnd"/>
            <w:r w:rsidR="00F0366F" w:rsidRPr="00C634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0366F" w:rsidRPr="00C63405">
              <w:rPr>
                <w:rFonts w:ascii="Arial" w:hAnsi="Arial" w:cs="Arial"/>
                <w:sz w:val="20"/>
                <w:szCs w:val="20"/>
              </w:rPr>
              <w:t>im</w:t>
            </w:r>
            <w:proofErr w:type="spellEnd"/>
            <w:r w:rsidR="00F0366F" w:rsidRPr="00C634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0366F" w:rsidRPr="00C63405">
              <w:rPr>
                <w:rFonts w:ascii="Arial" w:hAnsi="Arial" w:cs="Arial"/>
                <w:sz w:val="20"/>
                <w:szCs w:val="20"/>
              </w:rPr>
              <w:t>Umgang</w:t>
            </w:r>
            <w:proofErr w:type="spellEnd"/>
            <w:r w:rsidR="00F0366F" w:rsidRPr="00C634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0366F" w:rsidRPr="00C63405">
              <w:rPr>
                <w:rFonts w:ascii="Arial" w:hAnsi="Arial" w:cs="Arial"/>
                <w:sz w:val="20"/>
                <w:szCs w:val="20"/>
              </w:rPr>
              <w:t>mit</w:t>
            </w:r>
            <w:proofErr w:type="spellEnd"/>
            <w:r w:rsidR="00F0366F" w:rsidRPr="00C634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0366F" w:rsidRPr="00C63405">
              <w:rPr>
                <w:rFonts w:ascii="Arial" w:hAnsi="Arial" w:cs="Arial"/>
                <w:sz w:val="20"/>
                <w:szCs w:val="20"/>
              </w:rPr>
              <w:t>stillenden</w:t>
            </w:r>
            <w:proofErr w:type="spellEnd"/>
            <w:r w:rsidR="00F0366F" w:rsidRPr="00C634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0366F" w:rsidRPr="00C63405">
              <w:rPr>
                <w:rFonts w:ascii="Arial" w:hAnsi="Arial" w:cs="Arial"/>
                <w:sz w:val="20"/>
                <w:szCs w:val="20"/>
              </w:rPr>
              <w:t>Müttern</w:t>
            </w:r>
            <w:proofErr w:type="spellEnd"/>
            <w:r w:rsidRPr="00C634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E2EFD9" w:themeFill="accent6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E2EFD9" w:themeFill="accent6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E2EFD9" w:themeFill="accent6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</w:tbl>
    <w:p w:rsidR="00BC4F3C" w:rsidRDefault="00BC4F3C" w:rsidP="00BC4F3C">
      <w:pPr>
        <w:pStyle w:val="ColorfulList-Accent11"/>
        <w:ind w:left="360"/>
        <w:rPr>
          <w:rFonts w:ascii="Arial" w:hAnsi="Arial" w:cs="Arial"/>
          <w:sz w:val="24"/>
        </w:rPr>
      </w:pPr>
    </w:p>
    <w:p w:rsidR="00BC4F3C" w:rsidRPr="00491943" w:rsidRDefault="00BC4F3C" w:rsidP="00BC4F3C">
      <w:pPr>
        <w:rPr>
          <w:rFonts w:ascii="Arial" w:hAnsi="Arial" w:cs="Arial"/>
          <w:lang w:val="en-CA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BC4F3C" w:rsidRPr="00C63405" w:rsidRDefault="000E0A0A" w:rsidP="00BC4F3C">
      <w:pPr>
        <w:rPr>
          <w:rFonts w:ascii="Arial" w:hAnsi="Arial" w:cs="Arial"/>
          <w:b/>
          <w:bCs/>
          <w:u w:val="single"/>
          <w:lang w:val="fr-FR"/>
        </w:rPr>
      </w:pPr>
      <w:r w:rsidRPr="00C63405">
        <w:rPr>
          <w:rFonts w:ascii="Arial" w:hAnsi="Arial" w:cs="Arial"/>
          <w:b/>
          <w:bCs/>
          <w:u w:val="single"/>
          <w:lang w:val="fr-FR"/>
        </w:rPr>
        <w:lastRenderedPageBreak/>
        <w:t xml:space="preserve">Persönliche </w:t>
      </w:r>
      <w:r w:rsidR="004977B5" w:rsidRPr="00C63405">
        <w:rPr>
          <w:rFonts w:ascii="Arial" w:hAnsi="Arial" w:cs="Arial"/>
          <w:b/>
          <w:bCs/>
          <w:u w:val="single"/>
          <w:lang w:val="fr-FR"/>
        </w:rPr>
        <w:t>Eigenschaften des Teilnehmers</w:t>
      </w:r>
      <w:r w:rsidRPr="00C63405">
        <w:rPr>
          <w:rFonts w:ascii="Arial" w:hAnsi="Arial" w:cs="Arial"/>
          <w:b/>
          <w:bCs/>
          <w:u w:val="single"/>
          <w:lang w:val="fr-FR"/>
        </w:rPr>
        <w:t xml:space="preserve"> der Umfrage </w:t>
      </w:r>
    </w:p>
    <w:p w:rsidR="00BC4F3C" w:rsidRPr="00C63405" w:rsidRDefault="000E0A0A" w:rsidP="00BC4F3C">
      <w:pPr>
        <w:rPr>
          <w:rFonts w:ascii="Arial" w:hAnsi="Arial" w:cs="Arial"/>
          <w:lang w:val="de-DE"/>
        </w:rPr>
      </w:pPr>
      <w:r w:rsidRPr="00C63405">
        <w:rPr>
          <w:rFonts w:ascii="Arial" w:hAnsi="Arial" w:cs="Arial"/>
          <w:b/>
          <w:bCs/>
          <w:lang w:val="de-DE"/>
        </w:rPr>
        <w:t>Bitte klicken Sie die Box an, die am besten zu ihnen pa</w:t>
      </w:r>
      <w:r w:rsidR="004977B5" w:rsidRPr="00C63405">
        <w:rPr>
          <w:rFonts w:ascii="Arial" w:hAnsi="Arial" w:cs="Arial"/>
          <w:b/>
          <w:bCs/>
          <w:lang w:val="de-DE"/>
        </w:rPr>
        <w:t>s</w:t>
      </w:r>
      <w:r w:rsidRPr="00C63405">
        <w:rPr>
          <w:rFonts w:ascii="Arial" w:hAnsi="Arial" w:cs="Arial"/>
          <w:b/>
          <w:bCs/>
          <w:lang w:val="de-DE"/>
        </w:rPr>
        <w:t>st.</w:t>
      </w:r>
    </w:p>
    <w:p w:rsidR="00BC4F3C" w:rsidRPr="000E0A0A" w:rsidRDefault="00BC4F3C" w:rsidP="00BC4F3C">
      <w:pPr>
        <w:rPr>
          <w:rFonts w:ascii="Arial" w:hAnsi="Arial" w:cs="Arial"/>
          <w:lang w:val="de-DE"/>
        </w:rPr>
      </w:pPr>
    </w:p>
    <w:p w:rsidR="00BC4F3C" w:rsidRPr="00C63405" w:rsidRDefault="000E0A0A" w:rsidP="00BC4F3C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val="de-DE"/>
        </w:rPr>
      </w:pPr>
      <w:r w:rsidRPr="00C63405">
        <w:rPr>
          <w:rFonts w:ascii="Arial" w:hAnsi="Arial" w:cs="Arial"/>
          <w:lang w:val="de-DE"/>
        </w:rPr>
        <w:t>Was ist ihr klinischer Schwerpunkt?</w:t>
      </w:r>
    </w:p>
    <w:p w:rsidR="00BC4F3C" w:rsidRPr="00C63405" w:rsidRDefault="000E0A0A" w:rsidP="00BC4F3C">
      <w:pPr>
        <w:ind w:left="1440"/>
        <w:rPr>
          <w:rFonts w:ascii="Arial" w:hAnsi="Arial" w:cs="Arial"/>
          <w:lang w:val="de-DE"/>
        </w:rPr>
      </w:pPr>
      <w:r w:rsidRPr="00C63405">
        <w:rPr>
          <w:rFonts w:ascii="Arial" w:hAnsi="Arial" w:cs="Arial"/>
          <w:lang w:val="de-DE"/>
        </w:rPr>
        <w:br/>
        <w:t>Diätassi</w:t>
      </w:r>
      <w:r w:rsidR="00BB315A" w:rsidRPr="00C63405">
        <w:rPr>
          <w:rFonts w:ascii="Arial" w:hAnsi="Arial" w:cs="Arial"/>
          <w:lang w:val="de-DE"/>
        </w:rPr>
        <w:t>s</w:t>
      </w:r>
      <w:r w:rsidRPr="00C63405">
        <w:rPr>
          <w:rFonts w:ascii="Arial" w:hAnsi="Arial" w:cs="Arial"/>
          <w:lang w:val="de-DE"/>
        </w:rPr>
        <w:t>tent</w:t>
      </w:r>
      <w:r w:rsidR="00BC4F3C" w:rsidRPr="00C63405">
        <w:rPr>
          <w:rFonts w:ascii="Arial" w:hAnsi="Arial" w:cs="Arial"/>
          <w:lang w:val="de-DE"/>
        </w:rPr>
        <w:tab/>
      </w:r>
      <w:r w:rsidR="00BB315A" w:rsidRPr="00C63405">
        <w:rPr>
          <w:rFonts w:ascii="Arial" w:hAnsi="Arial" w:cs="Arial"/>
          <w:lang w:val="de-DE"/>
        </w:rPr>
        <w:tab/>
      </w:r>
      <w:r w:rsidR="00BC4F3C" w:rsidRPr="00C63405">
        <w:rPr>
          <w:rFonts w:ascii="MS Gothic" w:eastAsia="MS Gothic" w:hAnsi="MS Gothic"/>
          <w:lang w:val="de-DE"/>
        </w:rPr>
        <w:t>☐</w:t>
      </w:r>
    </w:p>
    <w:p w:rsidR="00BC4F3C" w:rsidRPr="00C63405" w:rsidRDefault="00BB315A" w:rsidP="00BC4F3C">
      <w:pPr>
        <w:ind w:left="1440"/>
        <w:rPr>
          <w:rFonts w:ascii="Arial" w:hAnsi="Arial" w:cs="Arial"/>
          <w:lang w:val="de-DE"/>
        </w:rPr>
      </w:pPr>
      <w:r w:rsidRPr="00C63405">
        <w:rPr>
          <w:rFonts w:ascii="Arial" w:hAnsi="Arial" w:cs="Arial"/>
          <w:lang w:val="de-DE"/>
        </w:rPr>
        <w:br/>
        <w:t>Pflegekraft</w:t>
      </w:r>
      <w:r w:rsidR="00BC4F3C" w:rsidRPr="00C63405">
        <w:rPr>
          <w:rFonts w:ascii="Arial" w:hAnsi="Arial" w:cs="Arial"/>
          <w:lang w:val="de-DE"/>
        </w:rPr>
        <w:tab/>
      </w:r>
      <w:r w:rsidR="00BC4F3C" w:rsidRPr="00C63405">
        <w:rPr>
          <w:rFonts w:ascii="Arial" w:hAnsi="Arial" w:cs="Arial"/>
          <w:lang w:val="de-DE"/>
        </w:rPr>
        <w:tab/>
      </w:r>
      <w:r w:rsidR="00BC4F3C" w:rsidRPr="00C63405">
        <w:rPr>
          <w:rFonts w:ascii="MS Gothic" w:eastAsia="MS Gothic" w:hAnsi="MS Gothic"/>
          <w:lang w:val="de-DE"/>
        </w:rPr>
        <w:t>☐</w:t>
      </w:r>
    </w:p>
    <w:p w:rsidR="00BC4F3C" w:rsidRPr="00C63405" w:rsidRDefault="00BB315A" w:rsidP="00BC4F3C">
      <w:pPr>
        <w:ind w:left="1440"/>
        <w:rPr>
          <w:rFonts w:ascii="Arial" w:hAnsi="Arial" w:cs="Arial"/>
          <w:lang w:val="de-DE"/>
        </w:rPr>
      </w:pPr>
      <w:r w:rsidRPr="00C63405">
        <w:rPr>
          <w:rFonts w:ascii="Arial" w:hAnsi="Arial" w:cs="Arial"/>
          <w:lang w:val="de-DE"/>
        </w:rPr>
        <w:br/>
        <w:t>Arzt</w:t>
      </w:r>
      <w:r w:rsidR="00BC4F3C" w:rsidRPr="00C63405">
        <w:rPr>
          <w:rFonts w:ascii="Arial" w:hAnsi="Arial" w:cs="Arial"/>
          <w:lang w:val="de-DE"/>
        </w:rPr>
        <w:tab/>
      </w:r>
      <w:r w:rsidRPr="00C63405">
        <w:rPr>
          <w:rFonts w:ascii="Arial" w:hAnsi="Arial" w:cs="Arial"/>
          <w:lang w:val="de-DE"/>
        </w:rPr>
        <w:tab/>
      </w:r>
      <w:r w:rsidRPr="00C63405">
        <w:rPr>
          <w:rFonts w:ascii="Arial" w:hAnsi="Arial" w:cs="Arial"/>
          <w:lang w:val="de-DE"/>
        </w:rPr>
        <w:tab/>
      </w:r>
      <w:r w:rsidR="00BC4F3C" w:rsidRPr="00C63405">
        <w:rPr>
          <w:rFonts w:ascii="MS Gothic" w:eastAsia="MS Gothic" w:hAnsi="MS Gothic"/>
          <w:lang w:val="de-DE"/>
        </w:rPr>
        <w:t>☐</w:t>
      </w:r>
      <w:r w:rsidR="00BC4F3C" w:rsidRPr="00C63405">
        <w:rPr>
          <w:rFonts w:ascii="Arial" w:hAnsi="Arial" w:cs="Arial"/>
          <w:lang w:val="de-DE"/>
        </w:rPr>
        <w:tab/>
      </w:r>
    </w:p>
    <w:p w:rsidR="00BC4F3C" w:rsidRPr="004977B5" w:rsidRDefault="00BC4F3C" w:rsidP="00BC4F3C">
      <w:pPr>
        <w:rPr>
          <w:rFonts w:ascii="Arial" w:hAnsi="Arial" w:cs="Arial"/>
          <w:lang w:val="de-DE"/>
        </w:rPr>
      </w:pPr>
    </w:p>
    <w:p w:rsidR="00BC4F3C" w:rsidRPr="00C63405" w:rsidRDefault="00BB315A" w:rsidP="00BC4F3C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val="de-DE"/>
        </w:rPr>
      </w:pPr>
      <w:r w:rsidRPr="00C63405">
        <w:rPr>
          <w:rFonts w:ascii="Arial" w:hAnsi="Arial" w:cs="Arial"/>
          <w:lang w:val="de-DE"/>
        </w:rPr>
        <w:t>Wie lange arbeiten Sie schon im Kinderintensivbereich?</w:t>
      </w:r>
    </w:p>
    <w:p w:rsidR="00C63405" w:rsidRDefault="00C63405" w:rsidP="00BC4F3C">
      <w:pPr>
        <w:ind w:left="360" w:firstLine="720"/>
        <w:rPr>
          <w:rFonts w:ascii="Arial" w:hAnsi="Arial" w:cs="Arial"/>
        </w:rPr>
      </w:pPr>
    </w:p>
    <w:p w:rsidR="00BC4F3C" w:rsidRPr="00E81029" w:rsidRDefault="00C63405" w:rsidP="00BC4F3C">
      <w:pPr>
        <w:ind w:left="3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0 - 5 </w:t>
      </w:r>
      <w:r w:rsidRPr="00C63405">
        <w:rPr>
          <w:rFonts w:ascii="Arial" w:hAnsi="Arial" w:cs="Arial"/>
        </w:rPr>
        <w:t>Jahre</w:t>
      </w:r>
      <w:r w:rsidRPr="00C6340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C4F3C">
        <w:rPr>
          <w:rFonts w:ascii="Arial" w:hAnsi="Arial" w:cs="Arial"/>
        </w:rPr>
        <w:tab/>
      </w:r>
      <w:r w:rsidR="00BC4F3C" w:rsidRPr="00524443">
        <w:rPr>
          <w:rFonts w:ascii="MS Gothic" w:eastAsia="MS Gothic" w:hAnsi="MS Gothic"/>
          <w:color w:val="000000"/>
        </w:rPr>
        <w:t>☐</w:t>
      </w:r>
    </w:p>
    <w:p w:rsidR="00BC4F3C" w:rsidRPr="00C63405" w:rsidRDefault="00C63405" w:rsidP="00BC4F3C">
      <w:pPr>
        <w:ind w:left="3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6 - 10 </w:t>
      </w:r>
      <w:r w:rsidRPr="00C63405">
        <w:rPr>
          <w:rFonts w:ascii="Arial" w:hAnsi="Arial" w:cs="Arial"/>
        </w:rPr>
        <w:t>Jahre</w:t>
      </w:r>
      <w:r>
        <w:rPr>
          <w:rFonts w:ascii="Arial" w:hAnsi="Arial" w:cs="Arial"/>
        </w:rPr>
        <w:tab/>
      </w:r>
      <w:r w:rsidR="00BB315A" w:rsidRPr="00C63405">
        <w:rPr>
          <w:rFonts w:ascii="Arial" w:hAnsi="Arial" w:cs="Arial"/>
        </w:rPr>
        <w:tab/>
      </w:r>
      <w:r w:rsidR="00BC4F3C" w:rsidRPr="00C63405">
        <w:rPr>
          <w:rFonts w:ascii="Arial" w:hAnsi="Arial" w:cs="Arial"/>
        </w:rPr>
        <w:tab/>
      </w:r>
      <w:r w:rsidR="00BC4F3C" w:rsidRPr="00C63405">
        <w:rPr>
          <w:rFonts w:ascii="MS Gothic" w:eastAsia="MS Gothic" w:hAnsi="MS Gothic"/>
        </w:rPr>
        <w:t>☐</w:t>
      </w:r>
    </w:p>
    <w:p w:rsidR="00C63405" w:rsidRDefault="00C63405" w:rsidP="00C63405">
      <w:pPr>
        <w:ind w:left="1080"/>
        <w:rPr>
          <w:rFonts w:ascii="Arial" w:hAnsi="Arial" w:cs="Arial"/>
        </w:rPr>
      </w:pPr>
      <w:r w:rsidRPr="00C63405">
        <w:rPr>
          <w:rFonts w:ascii="Arial" w:hAnsi="Arial" w:cs="Arial"/>
        </w:rPr>
        <w:t>11 - 15 Jahre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C4F3C" w:rsidRPr="003259D3">
        <w:rPr>
          <w:rFonts w:ascii="MS Gothic" w:eastAsia="MS Gothic" w:hAnsi="MS Gothic"/>
          <w:color w:val="000000"/>
        </w:rPr>
        <w:t>☐</w:t>
      </w:r>
    </w:p>
    <w:p w:rsidR="00BC4F3C" w:rsidRPr="00E81029" w:rsidRDefault="00BB315A" w:rsidP="00C63405">
      <w:pPr>
        <w:ind w:left="1080"/>
        <w:rPr>
          <w:rFonts w:ascii="Arial" w:hAnsi="Arial" w:cs="Arial"/>
        </w:rPr>
      </w:pPr>
      <w:proofErr w:type="spellStart"/>
      <w:proofErr w:type="gramStart"/>
      <w:r w:rsidRPr="00C63405">
        <w:rPr>
          <w:rFonts w:ascii="Arial" w:hAnsi="Arial" w:cs="Arial"/>
        </w:rPr>
        <w:t>mehr</w:t>
      </w:r>
      <w:proofErr w:type="spellEnd"/>
      <w:proofErr w:type="gramEnd"/>
      <w:r w:rsidRPr="00C63405">
        <w:rPr>
          <w:rFonts w:ascii="Arial" w:hAnsi="Arial" w:cs="Arial"/>
        </w:rPr>
        <w:t xml:space="preserve"> </w:t>
      </w:r>
      <w:proofErr w:type="spellStart"/>
      <w:r w:rsidRPr="00C63405">
        <w:rPr>
          <w:rFonts w:ascii="Arial" w:hAnsi="Arial" w:cs="Arial"/>
        </w:rPr>
        <w:t>als</w:t>
      </w:r>
      <w:proofErr w:type="spellEnd"/>
      <w:r w:rsidRPr="00C63405">
        <w:rPr>
          <w:rFonts w:ascii="Arial" w:hAnsi="Arial" w:cs="Arial"/>
        </w:rPr>
        <w:t xml:space="preserve"> 15 </w:t>
      </w:r>
      <w:proofErr w:type="spellStart"/>
      <w:r w:rsidRPr="00C63405">
        <w:rPr>
          <w:rFonts w:ascii="Arial" w:hAnsi="Arial" w:cs="Arial"/>
        </w:rPr>
        <w:t>Jahre</w:t>
      </w:r>
      <w:proofErr w:type="spellEnd"/>
      <w:r w:rsidRPr="00C63405"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ab/>
      </w:r>
      <w:r w:rsidR="00BC4F3C" w:rsidRPr="00E81029">
        <w:rPr>
          <w:rFonts w:ascii="Arial" w:hAnsi="Arial" w:cs="Arial"/>
        </w:rPr>
        <w:tab/>
      </w:r>
      <w:r w:rsidR="00BC4F3C" w:rsidRPr="00C92E12">
        <w:rPr>
          <w:rFonts w:ascii="MS Gothic" w:eastAsia="MS Gothic" w:hAnsi="MS Gothic"/>
          <w:color w:val="000000"/>
        </w:rPr>
        <w:t>☐</w:t>
      </w:r>
    </w:p>
    <w:p w:rsidR="00BC4F3C" w:rsidRPr="00B65C35" w:rsidRDefault="00BC4F3C" w:rsidP="00BC4F3C">
      <w:pPr>
        <w:rPr>
          <w:rFonts w:ascii="Arial" w:hAnsi="Arial" w:cs="Arial"/>
        </w:rPr>
      </w:pPr>
    </w:p>
    <w:p w:rsidR="00BC4F3C" w:rsidRPr="00B11645" w:rsidRDefault="000E0A0A" w:rsidP="00BC4F3C">
      <w:pPr>
        <w:rPr>
          <w:rFonts w:ascii="Arial" w:hAnsi="Arial" w:cs="Arial"/>
          <w:b/>
          <w:bCs/>
          <w:lang w:val="de-DE"/>
        </w:rPr>
      </w:pPr>
      <w:r w:rsidRPr="00B11645">
        <w:rPr>
          <w:rFonts w:ascii="Arial" w:hAnsi="Arial" w:cs="Arial"/>
          <w:b/>
          <w:bCs/>
          <w:lang w:val="de-DE"/>
        </w:rPr>
        <w:t xml:space="preserve">Gibt es noch weitere Aspekte in diesem </w:t>
      </w:r>
      <w:r w:rsidR="004977B5" w:rsidRPr="00B11645">
        <w:rPr>
          <w:rFonts w:ascii="Arial" w:hAnsi="Arial" w:cs="Arial"/>
          <w:b/>
          <w:bCs/>
          <w:lang w:val="de-DE"/>
        </w:rPr>
        <w:t>Zusammenhang zu bedenken, die</w:t>
      </w:r>
      <w:r w:rsidRPr="00B11645">
        <w:rPr>
          <w:rFonts w:ascii="Arial" w:hAnsi="Arial" w:cs="Arial"/>
          <w:b/>
          <w:bCs/>
          <w:lang w:val="de-DE"/>
        </w:rPr>
        <w:t xml:space="preserve"> nicht auf der Liste stehen?</w:t>
      </w:r>
    </w:p>
    <w:p w:rsidR="00BC4F3C" w:rsidRPr="000E0A0A" w:rsidRDefault="00BC4F3C" w:rsidP="00BC4F3C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lang w:val="de-DE"/>
        </w:rPr>
      </w:pPr>
    </w:p>
    <w:p w:rsidR="00BC4F3C" w:rsidRPr="000E0A0A" w:rsidRDefault="00BC4F3C" w:rsidP="00BC4F3C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lang w:val="de-DE"/>
        </w:rPr>
      </w:pPr>
    </w:p>
    <w:p w:rsidR="00BC4F3C" w:rsidRPr="000E0A0A" w:rsidRDefault="00BC4F3C" w:rsidP="00BC4F3C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lang w:val="de-DE"/>
        </w:rPr>
      </w:pPr>
    </w:p>
    <w:p w:rsidR="00BC4F3C" w:rsidRPr="000E0A0A" w:rsidRDefault="00BC4F3C" w:rsidP="00BC4F3C">
      <w:pPr>
        <w:rPr>
          <w:lang w:val="de-DE"/>
        </w:rPr>
      </w:pPr>
    </w:p>
    <w:p w:rsidR="00C27C61" w:rsidRPr="000E0A0A" w:rsidRDefault="00C27C61">
      <w:pPr>
        <w:rPr>
          <w:lang w:val="de-DE"/>
        </w:rPr>
      </w:pPr>
    </w:p>
    <w:sectPr w:rsidR="00C27C61" w:rsidRPr="000E0A0A" w:rsidSect="00BC4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375E9"/>
    <w:multiLevelType w:val="hybridMultilevel"/>
    <w:tmpl w:val="3DC04D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E1B487E"/>
    <w:multiLevelType w:val="hybridMultilevel"/>
    <w:tmpl w:val="6A4E8D3E"/>
    <w:lvl w:ilvl="0" w:tplc="2F762B9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3C"/>
    <w:rsid w:val="00007ED4"/>
    <w:rsid w:val="00076AE8"/>
    <w:rsid w:val="00095B42"/>
    <w:rsid w:val="000D27A6"/>
    <w:rsid w:val="000E0A0A"/>
    <w:rsid w:val="00351BB0"/>
    <w:rsid w:val="004977B5"/>
    <w:rsid w:val="004E2245"/>
    <w:rsid w:val="004F020A"/>
    <w:rsid w:val="006A1EFF"/>
    <w:rsid w:val="00866FC7"/>
    <w:rsid w:val="00916BAD"/>
    <w:rsid w:val="009321F7"/>
    <w:rsid w:val="009A0419"/>
    <w:rsid w:val="009C723B"/>
    <w:rsid w:val="00B11645"/>
    <w:rsid w:val="00B86FC0"/>
    <w:rsid w:val="00BB315A"/>
    <w:rsid w:val="00BC4F3C"/>
    <w:rsid w:val="00C27C61"/>
    <w:rsid w:val="00C63405"/>
    <w:rsid w:val="00D74262"/>
    <w:rsid w:val="00E25C34"/>
    <w:rsid w:val="00E52B51"/>
    <w:rsid w:val="00F0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85577"/>
  <w15:docId w15:val="{F059C368-24DF-4FB3-84E0-3739E51C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F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qFormat/>
    <w:rsid w:val="00BC4F3C"/>
    <w:pPr>
      <w:ind w:left="720"/>
    </w:pPr>
    <w:rPr>
      <w:rFonts w:ascii="Calibri" w:eastAsia="Times New Roman" w:hAnsi="Calibri" w:cs="Calibri"/>
      <w:lang w:val="en-CA"/>
    </w:rPr>
  </w:style>
  <w:style w:type="paragraph" w:styleId="ListParagraph">
    <w:name w:val="List Paragraph"/>
    <w:basedOn w:val="Normal"/>
    <w:uiPriority w:val="34"/>
    <w:qFormat/>
    <w:rsid w:val="00007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4A8EF5EF8D14C8B7E85529656A49E" ma:contentTypeVersion="17" ma:contentTypeDescription="Create a new document." ma:contentTypeScope="" ma:versionID="9aff7f45127f9dd428cbb2d8bda13cd7">
  <xsd:schema xmlns:xsd="http://www.w3.org/2001/XMLSchema" xmlns:xs="http://www.w3.org/2001/XMLSchema" xmlns:p="http://schemas.microsoft.com/office/2006/metadata/properties" xmlns:ns1="http://schemas.microsoft.com/sharepoint/v3" xmlns:ns2="eb3f7de7-c935-4ca6-a12c-1f73773710ec" xmlns:ns3="75a666ac-2dd7-4eab-bb26-6e47835aeffc" targetNamespace="http://schemas.microsoft.com/office/2006/metadata/properties" ma:root="true" ma:fieldsID="47ace7a6f89de7c2a9068d0d3404d16d" ns1:_="" ns2:_="" ns3:_="">
    <xsd:import namespace="http://schemas.microsoft.com/sharepoint/v3"/>
    <xsd:import namespace="eb3f7de7-c935-4ca6-a12c-1f73773710ec"/>
    <xsd:import namespace="75a666ac-2dd7-4eab-bb26-6e47835aef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666ac-2dd7-4eab-bb26-6e47835ae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5B2AA1-9315-4D08-B016-6A1958AFA820}"/>
</file>

<file path=customXml/itemProps2.xml><?xml version="1.0" encoding="utf-8"?>
<ds:datastoreItem xmlns:ds="http://schemas.openxmlformats.org/officeDocument/2006/customXml" ds:itemID="{C8BC25B8-5565-471A-A163-5E913DDFA272}"/>
</file>

<file path=customXml/itemProps3.xml><?xml version="1.0" encoding="utf-8"?>
<ds:datastoreItem xmlns:ds="http://schemas.openxmlformats.org/officeDocument/2006/customXml" ds:itemID="{69B5C4D8-85D7-4E54-9873-B51433338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the West of England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Lyvonne Tume</dc:creator>
  <cp:lastModifiedBy>Lyvonne Tume</cp:lastModifiedBy>
  <cp:revision>3</cp:revision>
  <dcterms:created xsi:type="dcterms:W3CDTF">2018-09-28T15:32:00Z</dcterms:created>
  <dcterms:modified xsi:type="dcterms:W3CDTF">2019-01-15T14:17:00Z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0x010100E534A8EF5EF8D14C8B7E85529656A49E</vt:lpwstr>
  </property>
</Properties>
</file>